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5401"/>
      </w:tblGrid>
      <w:tr w:rsidR="00E91CCF" w:rsidRPr="00E91CCF" w:rsidTr="00607E3B">
        <w:tc>
          <w:tcPr>
            <w:tcW w:w="3671" w:type="dxa"/>
            <w:hideMark/>
          </w:tcPr>
          <w:p w:rsidR="00E91CCF" w:rsidRDefault="00E91CCF" w:rsidP="00E91CCF">
            <w:pPr>
              <w:pStyle w:val="Vnbnnidung0"/>
              <w:tabs>
                <w:tab w:val="left" w:pos="4051"/>
              </w:tabs>
              <w:spacing w:line="240" w:lineRule="auto"/>
              <w:ind w:firstLine="0"/>
              <w:jc w:val="center"/>
              <w:rPr>
                <w:rFonts w:ascii="Arial" w:hAnsi="Arial" w:cs="Arial"/>
                <w:i w:val="0"/>
                <w:iCs w:val="0"/>
                <w:sz w:val="20"/>
                <w:szCs w:val="20"/>
              </w:rPr>
            </w:pPr>
            <w:r w:rsidRPr="00E91CCF">
              <w:rPr>
                <w:rFonts w:ascii="Arial" w:hAnsi="Arial" w:cs="Arial"/>
                <w:i w:val="0"/>
                <w:iCs w:val="0"/>
                <w:sz w:val="20"/>
                <w:szCs w:val="20"/>
              </w:rPr>
              <w:t>TỔNG CỤC THUẾ</w:t>
            </w:r>
          </w:p>
          <w:p w:rsidR="00E91CCF" w:rsidRDefault="00E91CCF" w:rsidP="00E91CCF">
            <w:pPr>
              <w:pStyle w:val="Vnbnnidung0"/>
              <w:tabs>
                <w:tab w:val="left" w:pos="4051"/>
              </w:tabs>
              <w:spacing w:line="240" w:lineRule="auto"/>
              <w:ind w:firstLine="0"/>
              <w:jc w:val="center"/>
              <w:rPr>
                <w:rFonts w:ascii="Arial" w:hAnsi="Arial" w:cs="Arial"/>
                <w:b/>
                <w:bCs/>
                <w:i w:val="0"/>
                <w:iCs w:val="0"/>
                <w:sz w:val="20"/>
                <w:szCs w:val="20"/>
              </w:rPr>
            </w:pPr>
            <w:r w:rsidRPr="00E91CCF">
              <w:rPr>
                <w:rFonts w:ascii="Arial" w:hAnsi="Arial" w:cs="Arial"/>
                <w:b/>
                <w:bCs/>
                <w:i w:val="0"/>
                <w:iCs w:val="0"/>
                <w:sz w:val="20"/>
                <w:szCs w:val="20"/>
              </w:rPr>
              <w:t>CỤC THUẾ THÀNH PHỐ CẦN THƠ</w:t>
            </w:r>
          </w:p>
          <w:p w:rsidR="00E91CCF" w:rsidRDefault="00E91CCF" w:rsidP="00E91CCF">
            <w:pPr>
              <w:pStyle w:val="Vnbnnidung0"/>
              <w:tabs>
                <w:tab w:val="left" w:pos="4051"/>
              </w:tabs>
              <w:spacing w:line="240" w:lineRule="auto"/>
              <w:ind w:firstLine="0"/>
              <w:jc w:val="center"/>
              <w:rPr>
                <w:rFonts w:ascii="Arial" w:hAnsi="Arial" w:cs="Arial"/>
                <w:i w:val="0"/>
                <w:iCs w:val="0"/>
                <w:sz w:val="20"/>
                <w:szCs w:val="20"/>
              </w:rPr>
            </w:pPr>
            <w:r w:rsidRPr="00E91CCF">
              <w:rPr>
                <w:rFonts w:ascii="Arial" w:hAnsi="Arial" w:cs="Arial"/>
                <w:i w:val="0"/>
                <w:iCs w:val="0"/>
                <w:sz w:val="20"/>
                <w:szCs w:val="20"/>
              </w:rPr>
              <w:t>Số: 276 /CTCTH-TTHT</w:t>
            </w:r>
          </w:p>
          <w:p w:rsidR="00E91CCF" w:rsidRPr="009F10B6" w:rsidRDefault="00E91CCF" w:rsidP="00E91CCF">
            <w:pPr>
              <w:pStyle w:val="Vnbnnidung0"/>
              <w:tabs>
                <w:tab w:val="left" w:pos="4051"/>
              </w:tabs>
              <w:spacing w:line="240" w:lineRule="auto"/>
              <w:ind w:firstLine="0"/>
              <w:jc w:val="center"/>
              <w:rPr>
                <w:rFonts w:ascii="Arial" w:hAnsi="Arial" w:cs="Arial"/>
                <w:sz w:val="20"/>
                <w:szCs w:val="20"/>
              </w:rPr>
            </w:pPr>
            <w:r w:rsidRPr="00E91CCF">
              <w:rPr>
                <w:rFonts w:ascii="Arial" w:hAnsi="Arial" w:cs="Arial"/>
                <w:i w:val="0"/>
                <w:iCs w:val="0"/>
                <w:sz w:val="20"/>
                <w:szCs w:val="20"/>
              </w:rPr>
              <w:t>V/v nộp tờ khai thuế GTGT</w:t>
            </w:r>
            <w:r>
              <w:rPr>
                <w:rFonts w:ascii="Arial" w:hAnsi="Arial" w:cs="Arial"/>
                <w:i w:val="0"/>
                <w:iCs w:val="0"/>
                <w:sz w:val="20"/>
                <w:szCs w:val="20"/>
                <w:lang w:val="en-US"/>
              </w:rPr>
              <w:t xml:space="preserve"> </w:t>
            </w:r>
            <w:r w:rsidRPr="00E91CCF">
              <w:rPr>
                <w:rFonts w:ascii="Arial" w:hAnsi="Arial" w:cs="Arial"/>
                <w:i w:val="0"/>
                <w:iCs w:val="0"/>
                <w:sz w:val="20"/>
                <w:szCs w:val="20"/>
              </w:rPr>
              <w:t>và Thuế TNCN</w:t>
            </w:r>
          </w:p>
        </w:tc>
        <w:tc>
          <w:tcPr>
            <w:tcW w:w="5401" w:type="dxa"/>
            <w:hideMark/>
          </w:tcPr>
          <w:p w:rsidR="00E91CCF" w:rsidRPr="00E91CCF" w:rsidRDefault="00E91CCF" w:rsidP="00607E3B">
            <w:pPr>
              <w:pStyle w:val="Vnbnnidung0"/>
              <w:ind w:left="360" w:right="440" w:firstLine="0"/>
              <w:jc w:val="center"/>
              <w:rPr>
                <w:rFonts w:ascii="Arial" w:hAnsi="Arial" w:cs="Arial"/>
                <w:b/>
                <w:bCs/>
                <w:i w:val="0"/>
                <w:sz w:val="20"/>
                <w:szCs w:val="20"/>
              </w:rPr>
            </w:pPr>
            <w:r w:rsidRPr="00E91CCF">
              <w:rPr>
                <w:rFonts w:ascii="Arial" w:hAnsi="Arial" w:cs="Arial"/>
                <w:b/>
                <w:bCs/>
                <w:i w:val="0"/>
                <w:sz w:val="20"/>
                <w:szCs w:val="20"/>
              </w:rPr>
              <w:t>CỘNG HOÀ XÃ HỘI CHỦ NGHĨA VIỆT NAM</w:t>
            </w:r>
          </w:p>
          <w:p w:rsidR="00E91CCF" w:rsidRPr="00E91CCF" w:rsidRDefault="00E91CCF" w:rsidP="00607E3B">
            <w:pPr>
              <w:pStyle w:val="Vnbnnidung0"/>
              <w:ind w:left="360" w:right="440" w:firstLine="0"/>
              <w:jc w:val="center"/>
              <w:rPr>
                <w:rFonts w:ascii="Arial" w:hAnsi="Arial" w:cs="Arial"/>
                <w:b/>
                <w:bCs/>
                <w:i w:val="0"/>
                <w:sz w:val="20"/>
                <w:szCs w:val="20"/>
              </w:rPr>
            </w:pPr>
            <w:r w:rsidRPr="00E91CCF">
              <w:rPr>
                <w:rFonts w:ascii="Arial" w:hAnsi="Arial" w:cs="Arial"/>
                <w:b/>
                <w:bCs/>
                <w:i w:val="0"/>
                <w:sz w:val="20"/>
                <w:szCs w:val="20"/>
              </w:rPr>
              <w:t>Độc lập - Tự do - Hạnh phúc</w:t>
            </w:r>
          </w:p>
          <w:p w:rsidR="00E91CCF" w:rsidRPr="00E91CCF" w:rsidRDefault="00E91CCF" w:rsidP="00607E3B">
            <w:pPr>
              <w:pStyle w:val="Vnbnnidung0"/>
              <w:spacing w:line="221" w:lineRule="auto"/>
              <w:ind w:left="760" w:hanging="180"/>
              <w:jc w:val="right"/>
              <w:rPr>
                <w:rFonts w:ascii="Arial" w:hAnsi="Arial" w:cs="Arial"/>
                <w:sz w:val="20"/>
                <w:szCs w:val="20"/>
                <w:lang w:val="en-US"/>
              </w:rPr>
            </w:pPr>
            <w:r w:rsidRPr="00E91CCF">
              <w:rPr>
                <w:rFonts w:ascii="Arial" w:hAnsi="Arial" w:cs="Arial"/>
                <w:sz w:val="20"/>
                <w:szCs w:val="20"/>
              </w:rPr>
              <w:t>Cần Thơ, ngày 10 tháng 01 năm 2025</w:t>
            </w:r>
          </w:p>
        </w:tc>
      </w:tr>
    </w:tbl>
    <w:p w:rsidR="00E91CCF" w:rsidRPr="00CC7380" w:rsidRDefault="00E91CCF" w:rsidP="00E91CCF">
      <w:pPr>
        <w:pStyle w:val="Vnbnnidung0"/>
        <w:ind w:left="720" w:firstLine="0"/>
        <w:jc w:val="both"/>
        <w:rPr>
          <w:rFonts w:ascii="Arial" w:hAnsi="Arial" w:cs="Arial"/>
          <w:iCs w:val="0"/>
          <w:sz w:val="20"/>
          <w:szCs w:val="20"/>
        </w:rPr>
      </w:pPr>
    </w:p>
    <w:tbl>
      <w:tblPr>
        <w:tblStyle w:val="TableGrid"/>
        <w:tblW w:w="94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5715"/>
      </w:tblGrid>
      <w:tr w:rsidR="00E91CCF" w:rsidRPr="00CC7380" w:rsidTr="00607E3B">
        <w:trPr>
          <w:trHeight w:val="698"/>
        </w:trPr>
        <w:tc>
          <w:tcPr>
            <w:tcW w:w="3691" w:type="dxa"/>
            <w:hideMark/>
          </w:tcPr>
          <w:p w:rsidR="00E91CCF" w:rsidRPr="00CC7380" w:rsidRDefault="00E91CCF" w:rsidP="00607E3B">
            <w:pPr>
              <w:pStyle w:val="Vnbnnidung0"/>
              <w:ind w:left="360" w:right="440" w:firstLine="0"/>
              <w:jc w:val="right"/>
              <w:rPr>
                <w:rFonts w:ascii="Arial" w:hAnsi="Arial" w:cs="Arial"/>
                <w:sz w:val="20"/>
                <w:szCs w:val="20"/>
              </w:rPr>
            </w:pPr>
            <w:r w:rsidRPr="00CC7380">
              <w:rPr>
                <w:rFonts w:ascii="Arial" w:hAnsi="Arial" w:cs="Arial"/>
                <w:sz w:val="20"/>
                <w:szCs w:val="20"/>
              </w:rPr>
              <w:t>Kính gửi:</w:t>
            </w:r>
          </w:p>
        </w:tc>
        <w:tc>
          <w:tcPr>
            <w:tcW w:w="5715" w:type="dxa"/>
            <w:hideMark/>
          </w:tcPr>
          <w:p w:rsidR="00E91CCF" w:rsidRDefault="00E91CCF" w:rsidP="00E91CCF">
            <w:pPr>
              <w:pStyle w:val="Vnbnnidung0"/>
              <w:spacing w:line="257" w:lineRule="auto"/>
              <w:ind w:firstLine="0"/>
              <w:jc w:val="both"/>
              <w:rPr>
                <w:rFonts w:ascii="Arial" w:hAnsi="Arial" w:cs="Arial"/>
                <w:i w:val="0"/>
                <w:iCs w:val="0"/>
                <w:sz w:val="20"/>
                <w:szCs w:val="20"/>
              </w:rPr>
            </w:pPr>
            <w:r w:rsidRPr="00E91CCF">
              <w:rPr>
                <w:rFonts w:ascii="Arial" w:hAnsi="Arial" w:cs="Arial"/>
                <w:i w:val="0"/>
                <w:iCs w:val="0"/>
                <w:sz w:val="20"/>
                <w:szCs w:val="20"/>
              </w:rPr>
              <w:t>Chi nhánh Công ty Cổ phần Đại lý Hàng hải Việt Nam</w:t>
            </w:r>
            <w:r>
              <w:rPr>
                <w:rFonts w:ascii="Arial" w:hAnsi="Arial" w:cs="Arial"/>
                <w:i w:val="0"/>
                <w:iCs w:val="0"/>
                <w:sz w:val="20"/>
                <w:szCs w:val="20"/>
                <w:lang w:val="en-US"/>
              </w:rPr>
              <w:t xml:space="preserve"> </w:t>
            </w:r>
            <w:r w:rsidRPr="00E91CCF">
              <w:rPr>
                <w:rFonts w:ascii="Arial" w:hAnsi="Arial" w:cs="Arial"/>
                <w:i w:val="0"/>
                <w:iCs w:val="0"/>
                <w:sz w:val="20"/>
                <w:szCs w:val="20"/>
              </w:rPr>
              <w:t>- Đại lý hàng hải Cần Thơ (VOSA Cần Thơ)</w:t>
            </w:r>
          </w:p>
          <w:p w:rsidR="00E91CCF" w:rsidRPr="00626FA8" w:rsidRDefault="00E91CCF" w:rsidP="00E91CCF">
            <w:pPr>
              <w:pStyle w:val="Vnbnnidung0"/>
              <w:spacing w:line="257" w:lineRule="auto"/>
              <w:ind w:firstLine="0"/>
              <w:rPr>
                <w:rFonts w:ascii="Arial" w:hAnsi="Arial" w:cs="Arial"/>
                <w:sz w:val="20"/>
                <w:szCs w:val="20"/>
              </w:rPr>
            </w:pPr>
            <w:r w:rsidRPr="00E91CCF">
              <w:rPr>
                <w:rFonts w:ascii="Arial" w:hAnsi="Arial" w:cs="Arial"/>
                <w:i w:val="0"/>
                <w:iCs w:val="0"/>
                <w:sz w:val="20"/>
                <w:szCs w:val="20"/>
              </w:rPr>
              <w:t>Địa chỉ: 53A-B Cách Mạng Tháng Tám, phường An Hòa,</w:t>
            </w:r>
            <w:r w:rsidRPr="00E91CCF">
              <w:rPr>
                <w:rFonts w:ascii="Arial" w:hAnsi="Arial" w:cs="Arial"/>
                <w:i w:val="0"/>
                <w:iCs w:val="0"/>
                <w:sz w:val="20"/>
                <w:szCs w:val="20"/>
              </w:rPr>
              <w:br/>
              <w:t>quận Ninh Kiều, thành phố Cần Thơ.</w:t>
            </w:r>
          </w:p>
        </w:tc>
      </w:tr>
    </w:tbl>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i w:val="0"/>
          <w:iCs w:val="0"/>
          <w:sz w:val="20"/>
          <w:szCs w:val="20"/>
        </w:rPr>
        <w:t>Cục Thuế thành phố Cần Thơ nhận được Văn bản số 06/CV-VOSACT/GĐ ngày 28/12/2024 của Chi nhánh Công ty Cổ phần Đại lý Hàng hải</w:t>
      </w:r>
      <w:r w:rsidRPr="00E91CCF">
        <w:rPr>
          <w:rFonts w:ascii="Arial" w:hAnsi="Arial" w:cs="Arial"/>
          <w:i w:val="0"/>
          <w:iCs w:val="0"/>
          <w:sz w:val="20"/>
          <w:szCs w:val="20"/>
        </w:rPr>
        <w:t xml:space="preserve"> Việt Nam - Đại lý hàng hải Cần Thơ (VOSA Cần Thơ) (gọi tắt là Công ty) về việc nộp tờ khai thuế GTGT và Thuế TNCN. Cục Thuế có ý kiến như sau:</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i w:val="0"/>
          <w:iCs w:val="0"/>
          <w:sz w:val="20"/>
          <w:szCs w:val="20"/>
        </w:rPr>
        <w:t>- Căn cứ Nghị định số 126/2020/NĐ-CP ngày 19/10/2020 của Chính phủ quy định chi tiết một số điều của Luật Quản l</w:t>
      </w:r>
      <w:r w:rsidRPr="00E91CCF">
        <w:rPr>
          <w:rFonts w:ascii="Arial" w:hAnsi="Arial" w:cs="Arial"/>
          <w:i w:val="0"/>
          <w:iCs w:val="0"/>
          <w:sz w:val="20"/>
          <w:szCs w:val="20"/>
        </w:rPr>
        <w:t>ý thuế (Nghị định số 126/2020/NĐ-CP).</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w:t>
      </w:r>
      <w:r w:rsidRPr="00E91CCF">
        <w:rPr>
          <w:rFonts w:ascii="Arial" w:hAnsi="Arial" w:cs="Arial"/>
          <w:i w:val="0"/>
          <w:iCs w:val="0"/>
          <w:sz w:val="20"/>
          <w:szCs w:val="20"/>
        </w:rPr>
        <w:t xml:space="preserve"> Tại điểm a khoản 2 Điều 4 quy định: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“Điều 4. Quản lý thuế đối với người nộp thuế trong thời gian tạm ngừng hoạt động, kinh doanh</w:t>
      </w:r>
    </w:p>
    <w:p w:rsidR="00B845C7" w:rsidRPr="00E91CCF" w:rsidRDefault="00E91CCF" w:rsidP="00E91CCF">
      <w:pPr>
        <w:pStyle w:val="Vnbnnidung0"/>
        <w:tabs>
          <w:tab w:val="left" w:pos="968"/>
        </w:tabs>
        <w:spacing w:after="120" w:line="240" w:lineRule="auto"/>
        <w:ind w:firstLine="284"/>
        <w:rPr>
          <w:rFonts w:ascii="Arial" w:hAnsi="Arial" w:cs="Arial"/>
          <w:sz w:val="20"/>
          <w:szCs w:val="20"/>
        </w:rPr>
      </w:pPr>
      <w:bookmarkStart w:id="0" w:name="bookmark0"/>
      <w:bookmarkEnd w:id="0"/>
      <w:r>
        <w:rPr>
          <w:rFonts w:ascii="Arial" w:hAnsi="Arial" w:cs="Arial"/>
          <w:sz w:val="20"/>
          <w:szCs w:val="20"/>
          <w:lang w:val="en-US"/>
        </w:rPr>
        <w:t xml:space="preserve">2. </w:t>
      </w:r>
      <w:r w:rsidR="001C7D68" w:rsidRPr="00E91CCF">
        <w:rPr>
          <w:rFonts w:ascii="Arial" w:hAnsi="Arial" w:cs="Arial"/>
          <w:sz w:val="20"/>
          <w:szCs w:val="20"/>
        </w:rPr>
        <w:t>Trong thời gian người nộp thuế tạm ngừng hoạt động, kinh doanh: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a) Người nộp thuế không</w:t>
      </w:r>
      <w:r w:rsidRPr="00E91CCF">
        <w:rPr>
          <w:rFonts w:ascii="Arial" w:hAnsi="Arial" w:cs="Arial"/>
          <w:sz w:val="20"/>
          <w:szCs w:val="20"/>
        </w:rPr>
        <w:t xml:space="preserve"> phải nộp hồ sơ khai thuế, trừ trường hợp người nộp thuế tạm ngừng hoạt động, kinh doanh không trọn tháng, quý, năm dương lịch hoặc năm tài chính thì vẫn phải nộp hồ sơ khai thuế tháng, quý; hồ sơ quyết toán năm.”</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w:t>
      </w:r>
      <w:r w:rsidRPr="00E91CCF">
        <w:rPr>
          <w:rFonts w:ascii="Arial" w:hAnsi="Arial" w:cs="Arial"/>
          <w:i w:val="0"/>
          <w:iCs w:val="0"/>
          <w:sz w:val="20"/>
          <w:szCs w:val="20"/>
        </w:rPr>
        <w:t xml:space="preserve"> Tại điểm e khoản 3 Điều 7 quy định: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“Điề</w:t>
      </w:r>
      <w:r w:rsidRPr="00E91CCF">
        <w:rPr>
          <w:rFonts w:ascii="Arial" w:hAnsi="Arial" w:cs="Arial"/>
          <w:sz w:val="20"/>
          <w:szCs w:val="20"/>
        </w:rPr>
        <w:t>u 7. Hồ sơ khai thuế</w:t>
      </w:r>
    </w:p>
    <w:p w:rsidR="00B845C7" w:rsidRPr="00E91CCF" w:rsidRDefault="00E91CCF" w:rsidP="00E91CCF">
      <w:pPr>
        <w:pStyle w:val="Vnbnnidung0"/>
        <w:tabs>
          <w:tab w:val="left" w:pos="954"/>
        </w:tabs>
        <w:spacing w:after="120" w:line="240" w:lineRule="auto"/>
        <w:ind w:firstLine="284"/>
        <w:rPr>
          <w:rFonts w:ascii="Arial" w:hAnsi="Arial" w:cs="Arial"/>
          <w:sz w:val="20"/>
          <w:szCs w:val="20"/>
        </w:rPr>
      </w:pPr>
      <w:bookmarkStart w:id="1" w:name="bookmark1"/>
      <w:bookmarkEnd w:id="1"/>
      <w:r>
        <w:rPr>
          <w:rFonts w:ascii="Arial" w:hAnsi="Arial" w:cs="Arial"/>
          <w:sz w:val="20"/>
          <w:szCs w:val="20"/>
          <w:lang w:val="en-US"/>
        </w:rPr>
        <w:t xml:space="preserve">3. </w:t>
      </w:r>
      <w:r w:rsidR="001C7D68" w:rsidRPr="00E91CCF">
        <w:rPr>
          <w:rFonts w:ascii="Arial" w:hAnsi="Arial" w:cs="Arial"/>
          <w:sz w:val="20"/>
          <w:szCs w:val="20"/>
        </w:rPr>
        <w:t>Người nộp thuế không phải nộp hồ sơ khai thuế trong các trường hợp sau đây:</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 xml:space="preserve">e) Người khai thuế thu nhập cá nhân là tổ chức, cá nhân trả thu nhập thuộc trường hợp khai thuế thu nhập cá nhân theo tháng, quý mà trong tháng, quý đó không </w:t>
      </w:r>
      <w:r w:rsidRPr="00E91CCF">
        <w:rPr>
          <w:rFonts w:ascii="Arial" w:hAnsi="Arial" w:cs="Arial"/>
          <w:sz w:val="20"/>
          <w:szCs w:val="20"/>
        </w:rPr>
        <w:t>phát sinh việc khấu trừ thuế thu nhập cá nhân của đối tượng nhận thu nhập.</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i w:val="0"/>
          <w:iCs w:val="0"/>
          <w:sz w:val="20"/>
          <w:szCs w:val="20"/>
        </w:rPr>
        <w:t>+ Tại điểm d1 khoản 6 Điều 8 quy định: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“Điều 8. Các loại thuế khai theo tháng, khai theo quý, khai theo năm, khai theo từng lần phát sinh nghĩa vụ thuế và khai quyết toán thuế</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6. Cá</w:t>
      </w:r>
      <w:r w:rsidRPr="00E91CCF">
        <w:rPr>
          <w:rFonts w:ascii="Arial" w:hAnsi="Arial" w:cs="Arial"/>
          <w:sz w:val="20"/>
          <w:szCs w:val="20"/>
        </w:rPr>
        <w:t>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w:t>
      </w:r>
      <w:r w:rsidRPr="00E91CCF">
        <w:rPr>
          <w:rFonts w:ascii="Arial" w:hAnsi="Arial" w:cs="Arial"/>
          <w:sz w:val="20"/>
          <w:szCs w:val="20"/>
        </w:rPr>
        <w:t xml:space="preserve">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 xml:space="preserve">d.1) </w:t>
      </w:r>
      <w:r w:rsidRPr="00E91CCF">
        <w:rPr>
          <w:rFonts w:ascii="Arial" w:hAnsi="Arial" w:cs="Arial"/>
          <w:sz w:val="20"/>
          <w:szCs w:val="20"/>
        </w:rPr>
        <w:t>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w:t>
      </w:r>
      <w:r w:rsidRPr="00E91CCF">
        <w:rPr>
          <w:rFonts w:ascii="Arial" w:hAnsi="Arial" w:cs="Arial"/>
          <w:sz w:val="20"/>
          <w:szCs w:val="20"/>
        </w:rPr>
        <w:t>.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w:t>
      </w:r>
      <w:r w:rsidRPr="00E91CCF">
        <w:rPr>
          <w:rFonts w:ascii="Arial" w:hAnsi="Arial" w:cs="Arial"/>
          <w:sz w:val="20"/>
          <w:szCs w:val="20"/>
        </w:rPr>
        <w:t>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w:t>
      </w:r>
      <w:r w:rsidRPr="00E91CCF">
        <w:rPr>
          <w:rFonts w:ascii="Arial" w:hAnsi="Arial" w:cs="Arial"/>
          <w:sz w:val="20"/>
          <w:szCs w:val="20"/>
        </w:rPr>
        <w:t xml:space="preserve"> do tổ chức cũ đã cấp cho người lao động (nếu có).”</w:t>
      </w:r>
    </w:p>
    <w:p w:rsidR="00B845C7" w:rsidRPr="00E91CCF" w:rsidRDefault="00E91CCF" w:rsidP="00E91CCF">
      <w:pPr>
        <w:pStyle w:val="Vnbnnidung0"/>
        <w:tabs>
          <w:tab w:val="left" w:pos="778"/>
        </w:tabs>
        <w:spacing w:after="120" w:line="240" w:lineRule="auto"/>
        <w:ind w:firstLine="284"/>
        <w:rPr>
          <w:rFonts w:ascii="Arial" w:hAnsi="Arial" w:cs="Arial"/>
          <w:sz w:val="20"/>
          <w:szCs w:val="20"/>
        </w:rPr>
      </w:pPr>
      <w:bookmarkStart w:id="2" w:name="bookmark2"/>
      <w:bookmarkEnd w:id="2"/>
      <w:r>
        <w:rPr>
          <w:rFonts w:ascii="Arial" w:hAnsi="Arial" w:cs="Arial"/>
          <w:i w:val="0"/>
          <w:iCs w:val="0"/>
          <w:sz w:val="20"/>
          <w:szCs w:val="20"/>
          <w:lang w:val="en-US"/>
        </w:rPr>
        <w:t xml:space="preserve">- </w:t>
      </w:r>
      <w:r w:rsidR="001C7D68" w:rsidRPr="00E91CCF">
        <w:rPr>
          <w:rFonts w:ascii="Arial" w:hAnsi="Arial" w:cs="Arial"/>
          <w:i w:val="0"/>
          <w:iCs w:val="0"/>
          <w:sz w:val="20"/>
          <w:szCs w:val="20"/>
        </w:rPr>
        <w:t>Căn cứ Khoản 1 Điều 66 Nghị định số 01/2021/NĐ-CP ngày 04/01/2021 của Chính phủ về Đăng ký doanh nghiệp quy định: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“Điều 66. Đăng ký tạm ngừng kinh doanh, tiếp tục kinh doanh trước thời hạn đã thông báo đố</w:t>
      </w:r>
      <w:r w:rsidRPr="00E91CCF">
        <w:rPr>
          <w:rFonts w:ascii="Arial" w:hAnsi="Arial" w:cs="Arial"/>
          <w:sz w:val="20"/>
          <w:szCs w:val="20"/>
        </w:rPr>
        <w:t>i với doanh nghiệp, chi nhánh, văn phòng đại diện, địa điểm kinh doanh</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sz w:val="20"/>
          <w:szCs w:val="20"/>
        </w:rPr>
        <w:t xml:space="preserve">1. Trường hợp doanh nghiệp, chi nhánh, văn phòng đại diện, địa điểm kinh doanh tạm ngừng kinh doanh hoặc tiếp tục kinh doanh trước thời hạn đã thông báo, doanh nghiệp gửi thông báo đến </w:t>
      </w:r>
      <w:r w:rsidRPr="00E91CCF">
        <w:rPr>
          <w:rFonts w:ascii="Arial" w:hAnsi="Arial" w:cs="Arial"/>
          <w:sz w:val="20"/>
          <w:szCs w:val="20"/>
        </w:rPr>
        <w:t>Phòng Đăng ký kinh doanh nơi doanh nghiệp, chi nhánh, văn phòng đại diện, địa điểm kinh doanh đặt trụ sở chậm nhất 03 ngày làm việc trước ngày tạm ngừng kinh doanh hoặc tiếp tục kinh doanh trước thời hạn đã thông báo. Trường hợp doanh nghiệp, chi nhánh, vă</w:t>
      </w:r>
      <w:r w:rsidRPr="00E91CCF">
        <w:rPr>
          <w:rFonts w:ascii="Arial" w:hAnsi="Arial" w:cs="Arial"/>
          <w:sz w:val="20"/>
          <w:szCs w:val="20"/>
        </w:rPr>
        <w:t xml:space="preserve">n phòng đại diện, địa điểm kinh doanh có nhu </w:t>
      </w:r>
      <w:r w:rsidRPr="00E91CCF">
        <w:rPr>
          <w:rFonts w:ascii="Arial" w:hAnsi="Arial" w:cs="Arial"/>
          <w:sz w:val="20"/>
          <w:szCs w:val="20"/>
        </w:rPr>
        <w:lastRenderedPageBreak/>
        <w:t>cầu tiếp tục tạm ngừng kinh doanh sau khi hết thời hạn đã thông báo thì phải thông báo cho Phòng Đăng ký kinh doanh chậm nhất 03 ngày làm việc trước ngày tiếp tục tạm ngừng kinh doanh. Thời hạn tạm ngừng kinh do</w:t>
      </w:r>
      <w:r w:rsidRPr="00E91CCF">
        <w:rPr>
          <w:rFonts w:ascii="Arial" w:hAnsi="Arial" w:cs="Arial"/>
          <w:sz w:val="20"/>
          <w:szCs w:val="20"/>
        </w:rPr>
        <w:t>anh của mỗi lần thông báo không được quá một năm.”</w:t>
      </w:r>
    </w:p>
    <w:p w:rsidR="00B845C7" w:rsidRPr="00E91CCF" w:rsidRDefault="001C7D68" w:rsidP="00E91CCF">
      <w:pPr>
        <w:pStyle w:val="Vnbnnidung0"/>
        <w:spacing w:after="120" w:line="240" w:lineRule="auto"/>
        <w:ind w:firstLine="284"/>
        <w:rPr>
          <w:rFonts w:ascii="Arial" w:hAnsi="Arial" w:cs="Arial"/>
          <w:sz w:val="20"/>
          <w:szCs w:val="20"/>
        </w:rPr>
      </w:pPr>
      <w:r w:rsidRPr="00E91CCF">
        <w:rPr>
          <w:rFonts w:ascii="Arial" w:hAnsi="Arial" w:cs="Arial"/>
          <w:i w:val="0"/>
          <w:iCs w:val="0"/>
          <w:sz w:val="20"/>
          <w:szCs w:val="20"/>
        </w:rPr>
        <w:t>Căn cứ các quy định trên và theo nội dung trình bày của Công ty tại Văn bản số 06/CV-VOSA/TG ngày 28/12/2024, Cục Thuế có ý kiến như sau:</w:t>
      </w:r>
    </w:p>
    <w:p w:rsidR="00B845C7" w:rsidRPr="00E91CCF" w:rsidRDefault="00E91CCF" w:rsidP="00E91CCF">
      <w:pPr>
        <w:pStyle w:val="Vnbnnidung0"/>
        <w:tabs>
          <w:tab w:val="left" w:pos="802"/>
        </w:tabs>
        <w:spacing w:after="120" w:line="240" w:lineRule="auto"/>
        <w:ind w:firstLine="284"/>
        <w:rPr>
          <w:rFonts w:ascii="Arial" w:hAnsi="Arial" w:cs="Arial"/>
          <w:sz w:val="20"/>
          <w:szCs w:val="20"/>
        </w:rPr>
      </w:pPr>
      <w:bookmarkStart w:id="3" w:name="bookmark3"/>
      <w:bookmarkEnd w:id="3"/>
      <w:r>
        <w:rPr>
          <w:rFonts w:ascii="Arial" w:hAnsi="Arial" w:cs="Arial"/>
          <w:i w:val="0"/>
          <w:iCs w:val="0"/>
          <w:sz w:val="20"/>
          <w:szCs w:val="20"/>
          <w:lang w:val="en-US"/>
        </w:rPr>
        <w:t xml:space="preserve">- </w:t>
      </w:r>
      <w:r w:rsidR="001C7D68" w:rsidRPr="00E91CCF">
        <w:rPr>
          <w:rFonts w:ascii="Arial" w:hAnsi="Arial" w:cs="Arial"/>
          <w:i w:val="0"/>
          <w:iCs w:val="0"/>
          <w:sz w:val="20"/>
          <w:szCs w:val="20"/>
        </w:rPr>
        <w:t>Theo giấy xác nhận số 8975/GXN-ĐKKD ngày 07/8/2024 của Phòng Đăng k</w:t>
      </w:r>
      <w:r w:rsidR="001C7D68" w:rsidRPr="00E91CCF">
        <w:rPr>
          <w:rFonts w:ascii="Arial" w:hAnsi="Arial" w:cs="Arial"/>
          <w:i w:val="0"/>
          <w:iCs w:val="0"/>
          <w:sz w:val="20"/>
          <w:szCs w:val="20"/>
        </w:rPr>
        <w:t>ý kinh doanh - Sở Kế hoạch và Đầu tư thành phố Cần Thơ về việc Công ty tạm dừng kinh doanh từ ngày 09/8/2024 đến ngày 31/7/2025 và không có hồ sơ xin hoạt động kinh doanh trở lại trước thời hạn thì Công ty không phải nộp hồ sơ khai thuế: Tờ khai thuế giá t</w:t>
      </w:r>
      <w:r>
        <w:rPr>
          <w:rFonts w:ascii="Arial" w:hAnsi="Arial" w:cs="Arial"/>
          <w:i w:val="0"/>
          <w:iCs w:val="0"/>
          <w:sz w:val="20"/>
          <w:szCs w:val="20"/>
        </w:rPr>
        <w:t>rị gia tăng (Mẫ</w:t>
      </w:r>
      <w:r w:rsidR="001C7D68" w:rsidRPr="00E91CCF">
        <w:rPr>
          <w:rFonts w:ascii="Arial" w:hAnsi="Arial" w:cs="Arial"/>
          <w:i w:val="0"/>
          <w:iCs w:val="0"/>
          <w:sz w:val="20"/>
          <w:szCs w:val="20"/>
        </w:rPr>
        <w:t xml:space="preserve">u số 01/GTGT) kỳ tính thuế quý 4/2024; Tờ khai khấu trừ thuế thu nhập cá nhân - </w:t>
      </w:r>
      <w:r>
        <w:rPr>
          <w:rFonts w:ascii="Arial" w:hAnsi="Arial" w:cs="Arial"/>
          <w:i w:val="0"/>
          <w:iCs w:val="0"/>
          <w:sz w:val="20"/>
          <w:szCs w:val="20"/>
        </w:rPr>
        <w:t>Mẫu</w:t>
      </w:r>
      <w:r w:rsidR="001C7D68" w:rsidRPr="00E91CCF">
        <w:rPr>
          <w:rFonts w:ascii="Arial" w:hAnsi="Arial" w:cs="Arial"/>
          <w:i w:val="0"/>
          <w:iCs w:val="0"/>
          <w:sz w:val="20"/>
          <w:szCs w:val="20"/>
        </w:rPr>
        <w:t xml:space="preserve"> 05/KK-TNCN (TT80/2021) kỳ tính thuế quý 4/2024; Tờ khai quyết toán thuế thu nhập cá nhân </w:t>
      </w:r>
      <w:r>
        <w:rPr>
          <w:rFonts w:ascii="Arial" w:hAnsi="Arial" w:cs="Arial"/>
          <w:i w:val="0"/>
          <w:iCs w:val="0"/>
          <w:sz w:val="20"/>
          <w:szCs w:val="20"/>
        </w:rPr>
        <w:t>–</w:t>
      </w:r>
      <w:r w:rsidR="001C7D68" w:rsidRPr="00E91CCF">
        <w:rPr>
          <w:rFonts w:ascii="Arial" w:hAnsi="Arial" w:cs="Arial"/>
          <w:i w:val="0"/>
          <w:iCs w:val="0"/>
          <w:sz w:val="20"/>
          <w:szCs w:val="20"/>
        </w:rPr>
        <w:t xml:space="preserve"> </w:t>
      </w:r>
      <w:r>
        <w:rPr>
          <w:rFonts w:ascii="Arial" w:hAnsi="Arial" w:cs="Arial"/>
          <w:i w:val="0"/>
          <w:iCs w:val="0"/>
          <w:sz w:val="20"/>
          <w:szCs w:val="20"/>
        </w:rPr>
        <w:t>M</w:t>
      </w:r>
      <w:r>
        <w:rPr>
          <w:rFonts w:ascii="Arial" w:hAnsi="Arial" w:cs="Arial"/>
          <w:i w:val="0"/>
          <w:iCs w:val="0"/>
          <w:sz w:val="20"/>
          <w:szCs w:val="20"/>
          <w:lang w:val="en-US"/>
        </w:rPr>
        <w:t>ẫ</w:t>
      </w:r>
      <w:bookmarkStart w:id="4" w:name="_GoBack"/>
      <w:bookmarkEnd w:id="4"/>
      <w:r>
        <w:rPr>
          <w:rFonts w:ascii="Arial" w:hAnsi="Arial" w:cs="Arial"/>
          <w:i w:val="0"/>
          <w:iCs w:val="0"/>
          <w:sz w:val="20"/>
          <w:szCs w:val="20"/>
        </w:rPr>
        <w:t>u</w:t>
      </w:r>
      <w:r w:rsidR="001C7D68" w:rsidRPr="00E91CCF">
        <w:rPr>
          <w:rFonts w:ascii="Arial" w:hAnsi="Arial" w:cs="Arial"/>
          <w:i w:val="0"/>
          <w:iCs w:val="0"/>
          <w:sz w:val="20"/>
          <w:szCs w:val="20"/>
        </w:rPr>
        <w:t xml:space="preserve"> 05/QTT-TNCN kỳ tính thế năm 2024.</w:t>
      </w:r>
    </w:p>
    <w:p w:rsidR="00B845C7" w:rsidRPr="00E91CCF" w:rsidRDefault="00E91CCF" w:rsidP="00E91CCF">
      <w:pPr>
        <w:pStyle w:val="Vnbnnidung0"/>
        <w:tabs>
          <w:tab w:val="left" w:pos="212"/>
        </w:tabs>
        <w:spacing w:after="120" w:line="240" w:lineRule="auto"/>
        <w:ind w:firstLine="284"/>
        <w:rPr>
          <w:rFonts w:ascii="Arial" w:hAnsi="Arial" w:cs="Arial"/>
          <w:sz w:val="20"/>
          <w:szCs w:val="20"/>
        </w:rPr>
      </w:pPr>
      <w:bookmarkStart w:id="5" w:name="bookmark4"/>
      <w:bookmarkEnd w:id="5"/>
      <w:r>
        <w:rPr>
          <w:rFonts w:ascii="Arial" w:hAnsi="Arial" w:cs="Arial"/>
          <w:i w:val="0"/>
          <w:iCs w:val="0"/>
          <w:sz w:val="20"/>
          <w:szCs w:val="20"/>
          <w:lang w:val="en-US"/>
        </w:rPr>
        <w:t xml:space="preserve">- </w:t>
      </w:r>
      <w:r w:rsidR="001C7D68" w:rsidRPr="00E91CCF">
        <w:rPr>
          <w:rFonts w:ascii="Arial" w:hAnsi="Arial" w:cs="Arial"/>
          <w:i w:val="0"/>
          <w:iCs w:val="0"/>
          <w:sz w:val="20"/>
          <w:szCs w:val="20"/>
        </w:rPr>
        <w:t xml:space="preserve">Trường hợp khi hết thời hạn </w:t>
      </w:r>
      <w:r w:rsidR="001C7D68" w:rsidRPr="00E91CCF">
        <w:rPr>
          <w:rFonts w:ascii="Arial" w:hAnsi="Arial" w:cs="Arial"/>
          <w:i w:val="0"/>
          <w:iCs w:val="0"/>
          <w:sz w:val="20"/>
          <w:szCs w:val="20"/>
        </w:rPr>
        <w:t>tạm ngừng kinh doanh, Công ty tiếp tục tạm</w:t>
      </w:r>
      <w:r>
        <w:rPr>
          <w:rFonts w:ascii="Arial" w:hAnsi="Arial" w:cs="Arial"/>
          <w:i w:val="0"/>
          <w:iCs w:val="0"/>
          <w:sz w:val="20"/>
          <w:szCs w:val="20"/>
          <w:lang w:val="en-US"/>
        </w:rPr>
        <w:t xml:space="preserve"> </w:t>
      </w:r>
      <w:r w:rsidR="001C7D68" w:rsidRPr="00E91CCF">
        <w:rPr>
          <w:rFonts w:ascii="Arial" w:hAnsi="Arial" w:cs="Arial"/>
          <w:i w:val="0"/>
          <w:iCs w:val="0"/>
          <w:sz w:val="20"/>
          <w:szCs w:val="20"/>
        </w:rPr>
        <w:t>ngừng hoạt động kinh doanh thì Công ty không phải nộp hồ sơ khai thuế theo quy định.</w:t>
      </w:r>
    </w:p>
    <w:p w:rsidR="00B845C7" w:rsidRDefault="001C7D68" w:rsidP="00E91CCF">
      <w:pPr>
        <w:pStyle w:val="Vnbnnidung0"/>
        <w:spacing w:after="120" w:line="240" w:lineRule="auto"/>
        <w:ind w:firstLine="284"/>
        <w:rPr>
          <w:rFonts w:ascii="Arial" w:hAnsi="Arial" w:cs="Arial"/>
          <w:i w:val="0"/>
          <w:iCs w:val="0"/>
          <w:sz w:val="20"/>
          <w:szCs w:val="20"/>
        </w:rPr>
      </w:pPr>
      <w:r w:rsidRPr="00E91CCF">
        <w:rPr>
          <w:rFonts w:ascii="Arial" w:hAnsi="Arial" w:cs="Arial"/>
          <w:i w:val="0"/>
          <w:iCs w:val="0"/>
          <w:sz w:val="20"/>
          <w:szCs w:val="20"/>
        </w:rPr>
        <w:t>Cục Thuế thành phố Cần Thơ đề nghị Chi nhánh Công ty Cổ phần Đại lý Hàng hải Việt Nam - Đại lý hàng hải Cần Thơ (VOSA Cần Thơ) t</w:t>
      </w:r>
      <w:r w:rsidRPr="00E91CCF">
        <w:rPr>
          <w:rFonts w:ascii="Arial" w:hAnsi="Arial" w:cs="Arial"/>
          <w:i w:val="0"/>
          <w:iCs w:val="0"/>
          <w:sz w:val="20"/>
          <w:szCs w:val="20"/>
        </w:rPr>
        <w:t>ham khảo các nội dung nêu trên và thực hiện theo các quy định tại các văn bản quy phạm pháp luật hiện hành./.</w:t>
      </w:r>
    </w:p>
    <w:tbl>
      <w:tblPr>
        <w:tblStyle w:val="TableGrid"/>
        <w:tblW w:w="998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3"/>
        <w:gridCol w:w="4140"/>
      </w:tblGrid>
      <w:tr w:rsidR="00E91CCF" w:rsidRPr="007D2425" w:rsidTr="00607E3B">
        <w:trPr>
          <w:trHeight w:val="2005"/>
        </w:trPr>
        <w:tc>
          <w:tcPr>
            <w:tcW w:w="5843" w:type="dxa"/>
            <w:shd w:val="clear" w:color="auto" w:fill="auto"/>
            <w:hideMark/>
          </w:tcPr>
          <w:p w:rsidR="00E91CCF" w:rsidRPr="005928D4" w:rsidRDefault="00E91CCF" w:rsidP="00607E3B">
            <w:pPr>
              <w:pStyle w:val="Vnbnnidung0"/>
              <w:ind w:firstLine="0"/>
              <w:rPr>
                <w:rFonts w:ascii="Arial" w:hAnsi="Arial" w:cs="Arial"/>
                <w:b/>
                <w:i w:val="0"/>
                <w:sz w:val="20"/>
                <w:szCs w:val="20"/>
                <w:lang w:val="en-US"/>
              </w:rPr>
            </w:pPr>
            <w:r w:rsidRPr="005928D4">
              <w:rPr>
                <w:rFonts w:ascii="Arial" w:hAnsi="Arial" w:cs="Arial"/>
                <w:b/>
                <w:i w:val="0"/>
                <w:sz w:val="20"/>
                <w:szCs w:val="20"/>
              </w:rPr>
              <w:t>Nơi nhận</w:t>
            </w:r>
            <w:r w:rsidRPr="005928D4">
              <w:rPr>
                <w:rFonts w:ascii="Arial" w:hAnsi="Arial" w:cs="Arial"/>
                <w:b/>
                <w:i w:val="0"/>
                <w:sz w:val="20"/>
                <w:szCs w:val="20"/>
                <w:lang w:val="en-US"/>
              </w:rPr>
              <w:t>: (VBĐT)</w:t>
            </w:r>
          </w:p>
          <w:p w:rsidR="00E91CCF" w:rsidRPr="005928D4" w:rsidRDefault="00E91CCF" w:rsidP="00607E3B">
            <w:pPr>
              <w:pStyle w:val="Vnbnnidung20"/>
              <w:tabs>
                <w:tab w:val="left" w:pos="258"/>
              </w:tabs>
              <w:rPr>
                <w:rFonts w:ascii="Arial" w:hAnsi="Arial" w:cs="Arial"/>
                <w:sz w:val="20"/>
                <w:szCs w:val="20"/>
              </w:rPr>
            </w:pPr>
            <w:r w:rsidRPr="005928D4">
              <w:rPr>
                <w:rFonts w:ascii="Arial" w:hAnsi="Arial" w:cs="Arial"/>
                <w:sz w:val="20"/>
                <w:szCs w:val="20"/>
                <w:lang w:val="en-US"/>
              </w:rPr>
              <w:t xml:space="preserve">- </w:t>
            </w:r>
            <w:r w:rsidRPr="005928D4">
              <w:rPr>
                <w:rFonts w:ascii="Arial" w:hAnsi="Arial" w:cs="Arial"/>
                <w:sz w:val="20"/>
                <w:szCs w:val="20"/>
              </w:rPr>
              <w:t>Như trên;</w:t>
            </w:r>
          </w:p>
          <w:p w:rsidR="00E91CCF" w:rsidRPr="00E91CCF" w:rsidRDefault="00E91CCF" w:rsidP="00E91CCF">
            <w:pPr>
              <w:pStyle w:val="Vnbnnidung20"/>
              <w:rPr>
                <w:rFonts w:ascii="Arial" w:hAnsi="Arial" w:cs="Arial"/>
                <w:sz w:val="20"/>
                <w:szCs w:val="20"/>
              </w:rPr>
            </w:pPr>
            <w:bookmarkStart w:id="6" w:name="bookmark28"/>
            <w:bookmarkEnd w:id="6"/>
            <w:r>
              <w:rPr>
                <w:rFonts w:ascii="Arial" w:hAnsi="Arial" w:cs="Arial"/>
                <w:sz w:val="20"/>
                <w:szCs w:val="20"/>
                <w:lang w:val="en-US"/>
              </w:rPr>
              <w:t xml:space="preserve">- </w:t>
            </w:r>
            <w:r w:rsidRPr="00E91CCF">
              <w:rPr>
                <w:rFonts w:ascii="Arial" w:hAnsi="Arial" w:cs="Arial"/>
                <w:sz w:val="20"/>
                <w:szCs w:val="20"/>
              </w:rPr>
              <w:t>Phòng NVDTPC;</w:t>
            </w:r>
          </w:p>
          <w:p w:rsidR="00E91CCF" w:rsidRDefault="00E91CCF" w:rsidP="00E91CCF">
            <w:pPr>
              <w:pStyle w:val="Vnbnnidung20"/>
              <w:rPr>
                <w:rFonts w:ascii="Arial" w:hAnsi="Arial" w:cs="Arial"/>
                <w:sz w:val="20"/>
                <w:szCs w:val="20"/>
              </w:rPr>
            </w:pPr>
            <w:r>
              <w:rPr>
                <w:rFonts w:ascii="Arial" w:hAnsi="Arial" w:cs="Arial"/>
                <w:sz w:val="20"/>
                <w:szCs w:val="20"/>
                <w:lang w:val="en-US"/>
              </w:rPr>
              <w:t xml:space="preserve">- </w:t>
            </w:r>
            <w:r w:rsidRPr="00E91CCF">
              <w:rPr>
                <w:rFonts w:ascii="Arial" w:hAnsi="Arial" w:cs="Arial"/>
                <w:sz w:val="20"/>
                <w:szCs w:val="20"/>
              </w:rPr>
              <w:t>Phòng KK&amp;KTT, TTKT1,2;</w:t>
            </w:r>
          </w:p>
          <w:p w:rsidR="00E91CCF" w:rsidRDefault="00E91CCF" w:rsidP="00E91CCF">
            <w:pPr>
              <w:pStyle w:val="Vnbnnidung20"/>
              <w:rPr>
                <w:rFonts w:ascii="Arial" w:hAnsi="Arial" w:cs="Arial"/>
                <w:sz w:val="20"/>
                <w:szCs w:val="20"/>
              </w:rPr>
            </w:pPr>
            <w:r>
              <w:rPr>
                <w:rFonts w:ascii="Arial" w:hAnsi="Arial" w:cs="Arial"/>
                <w:sz w:val="20"/>
                <w:szCs w:val="20"/>
                <w:lang w:val="en-US"/>
              </w:rPr>
              <w:t xml:space="preserve">- </w:t>
            </w:r>
            <w:r w:rsidRPr="00E91CCF">
              <w:rPr>
                <w:rFonts w:ascii="Arial" w:hAnsi="Arial" w:cs="Arial"/>
                <w:sz w:val="20"/>
                <w:szCs w:val="20"/>
              </w:rPr>
              <w:t>Trang Web Cục Thuế;</w:t>
            </w:r>
          </w:p>
          <w:p w:rsidR="00E91CCF" w:rsidRPr="005928D4" w:rsidRDefault="00E91CCF" w:rsidP="00E91CCF">
            <w:pPr>
              <w:pStyle w:val="Vnbnnidung20"/>
              <w:rPr>
                <w:rFonts w:ascii="Arial" w:hAnsi="Arial" w:cs="Arial"/>
                <w:sz w:val="20"/>
                <w:szCs w:val="20"/>
              </w:rPr>
            </w:pPr>
            <w:r>
              <w:rPr>
                <w:rFonts w:ascii="Arial" w:hAnsi="Arial" w:cs="Arial"/>
                <w:sz w:val="20"/>
                <w:szCs w:val="20"/>
                <w:lang w:val="en-US"/>
              </w:rPr>
              <w:t xml:space="preserve">- </w:t>
            </w:r>
            <w:r w:rsidRPr="00E91CCF">
              <w:rPr>
                <w:rFonts w:ascii="Arial" w:hAnsi="Arial" w:cs="Arial"/>
                <w:sz w:val="20"/>
                <w:szCs w:val="20"/>
              </w:rPr>
              <w:t xml:space="preserve">Lưu </w:t>
            </w:r>
            <w:r w:rsidRPr="00E91CCF">
              <w:rPr>
                <w:rFonts w:ascii="Arial" w:hAnsi="Arial" w:cs="Arial"/>
                <w:smallCaps/>
                <w:sz w:val="20"/>
                <w:szCs w:val="20"/>
              </w:rPr>
              <w:t>Vt,</w:t>
            </w:r>
            <w:r w:rsidRPr="00E91CCF">
              <w:rPr>
                <w:rFonts w:ascii="Arial" w:hAnsi="Arial" w:cs="Arial"/>
                <w:sz w:val="20"/>
                <w:szCs w:val="20"/>
              </w:rPr>
              <w:t xml:space="preserve"> TTHT(CL</w:t>
            </w:r>
            <w:r>
              <w:rPr>
                <w:rFonts w:ascii="Arial" w:hAnsi="Arial" w:cs="Arial"/>
                <w:sz w:val="20"/>
                <w:szCs w:val="20"/>
                <w:lang w:val="en-US"/>
              </w:rPr>
              <w:t>)</w:t>
            </w:r>
          </w:p>
        </w:tc>
        <w:tc>
          <w:tcPr>
            <w:tcW w:w="4140" w:type="dxa"/>
            <w:shd w:val="clear" w:color="auto" w:fill="auto"/>
          </w:tcPr>
          <w:p w:rsidR="00E91CCF" w:rsidRPr="00E91CCF" w:rsidRDefault="00E91CCF" w:rsidP="00607E3B">
            <w:pPr>
              <w:pStyle w:val="Vnbnnidung0"/>
              <w:tabs>
                <w:tab w:val="left" w:pos="4030"/>
                <w:tab w:val="left" w:leader="dot" w:pos="4198"/>
              </w:tabs>
              <w:ind w:firstLine="0"/>
              <w:jc w:val="center"/>
              <w:rPr>
                <w:rFonts w:ascii="Arial" w:hAnsi="Arial" w:cs="Arial"/>
                <w:b/>
                <w:i w:val="0"/>
                <w:sz w:val="20"/>
                <w:szCs w:val="20"/>
              </w:rPr>
            </w:pPr>
            <w:r w:rsidRPr="00E91CCF">
              <w:rPr>
                <w:rFonts w:ascii="Arial" w:hAnsi="Arial" w:cs="Arial"/>
                <w:b/>
                <w:i w:val="0"/>
                <w:sz w:val="20"/>
                <w:szCs w:val="20"/>
                <w:lang w:val="en-US"/>
              </w:rPr>
              <w:t>KT. C</w:t>
            </w:r>
            <w:r w:rsidRPr="00E91CCF">
              <w:rPr>
                <w:rFonts w:ascii="Arial" w:hAnsi="Arial" w:cs="Arial"/>
                <w:b/>
                <w:i w:val="0"/>
                <w:sz w:val="20"/>
                <w:szCs w:val="20"/>
              </w:rPr>
              <w:t>ỤC TRƯỞNG</w:t>
            </w:r>
          </w:p>
          <w:p w:rsidR="00E91CCF" w:rsidRPr="00E91CCF" w:rsidRDefault="00E91CCF" w:rsidP="00607E3B">
            <w:pPr>
              <w:pStyle w:val="Vnbnnidung0"/>
              <w:tabs>
                <w:tab w:val="left" w:pos="4030"/>
                <w:tab w:val="left" w:leader="dot" w:pos="4198"/>
              </w:tabs>
              <w:ind w:firstLine="0"/>
              <w:jc w:val="center"/>
              <w:rPr>
                <w:rFonts w:ascii="Arial" w:hAnsi="Arial" w:cs="Arial"/>
                <w:b/>
                <w:i w:val="0"/>
                <w:sz w:val="20"/>
                <w:szCs w:val="20"/>
              </w:rPr>
            </w:pPr>
            <w:r w:rsidRPr="00E91CCF">
              <w:rPr>
                <w:rFonts w:ascii="Arial" w:hAnsi="Arial" w:cs="Arial"/>
                <w:b/>
                <w:i w:val="0"/>
                <w:sz w:val="20"/>
                <w:szCs w:val="20"/>
                <w:lang w:val="en-US"/>
              </w:rPr>
              <w:t>KT. PHÓ C</w:t>
            </w:r>
            <w:r w:rsidRPr="00E91CCF">
              <w:rPr>
                <w:rFonts w:ascii="Arial" w:hAnsi="Arial" w:cs="Arial"/>
                <w:b/>
                <w:i w:val="0"/>
                <w:sz w:val="20"/>
                <w:szCs w:val="20"/>
              </w:rPr>
              <w:t>ỤC TRƯỞNG</w:t>
            </w:r>
          </w:p>
          <w:p w:rsidR="00E91CCF" w:rsidRPr="00E91CCF" w:rsidRDefault="00E91CCF" w:rsidP="00607E3B">
            <w:pPr>
              <w:pStyle w:val="Vnbnnidung0"/>
              <w:tabs>
                <w:tab w:val="left" w:pos="4030"/>
                <w:tab w:val="left" w:leader="dot" w:pos="4198"/>
              </w:tabs>
              <w:ind w:firstLine="0"/>
              <w:jc w:val="center"/>
              <w:rPr>
                <w:rFonts w:ascii="Arial" w:hAnsi="Arial" w:cs="Arial"/>
                <w:b/>
                <w:i w:val="0"/>
                <w:sz w:val="20"/>
                <w:szCs w:val="20"/>
              </w:rPr>
            </w:pPr>
          </w:p>
          <w:p w:rsidR="00E91CCF" w:rsidRPr="00E91CCF" w:rsidRDefault="00E91CCF" w:rsidP="00607E3B">
            <w:pPr>
              <w:pStyle w:val="Vnbnnidung0"/>
              <w:tabs>
                <w:tab w:val="left" w:pos="4030"/>
                <w:tab w:val="left" w:leader="dot" w:pos="4198"/>
              </w:tabs>
              <w:ind w:firstLine="0"/>
              <w:jc w:val="center"/>
              <w:rPr>
                <w:rFonts w:ascii="Arial" w:hAnsi="Arial" w:cs="Arial"/>
                <w:b/>
                <w:i w:val="0"/>
                <w:sz w:val="20"/>
                <w:szCs w:val="20"/>
              </w:rPr>
            </w:pPr>
          </w:p>
          <w:p w:rsidR="00E91CCF" w:rsidRPr="00BE0F66" w:rsidRDefault="00E91CCF" w:rsidP="00607E3B">
            <w:pPr>
              <w:pStyle w:val="Vnbnnidung0"/>
              <w:tabs>
                <w:tab w:val="left" w:pos="4030"/>
                <w:tab w:val="left" w:leader="dot" w:pos="4198"/>
              </w:tabs>
              <w:ind w:firstLine="0"/>
              <w:jc w:val="center"/>
              <w:rPr>
                <w:rFonts w:ascii="Arial" w:hAnsi="Arial" w:cs="Arial"/>
                <w:b/>
                <w:sz w:val="20"/>
                <w:szCs w:val="20"/>
                <w:lang w:val="en-US"/>
              </w:rPr>
            </w:pPr>
            <w:r>
              <w:rPr>
                <w:rFonts w:ascii="Arial" w:hAnsi="Arial" w:cs="Arial"/>
                <w:b/>
                <w:i w:val="0"/>
                <w:sz w:val="20"/>
                <w:szCs w:val="20"/>
                <w:lang w:val="en-US"/>
              </w:rPr>
              <w:t>Huỳnh Tấn Phát</w:t>
            </w:r>
          </w:p>
        </w:tc>
      </w:tr>
    </w:tbl>
    <w:p w:rsidR="00E91CCF" w:rsidRDefault="00E91CCF" w:rsidP="00E91CCF">
      <w:pPr>
        <w:pStyle w:val="Vnbnnidung0"/>
        <w:spacing w:after="100" w:line="259" w:lineRule="auto"/>
        <w:ind w:firstLine="0"/>
        <w:jc w:val="both"/>
        <w:rPr>
          <w:rFonts w:ascii="Arial" w:hAnsi="Arial" w:cs="Arial"/>
          <w:i w:val="0"/>
          <w:iCs w:val="0"/>
          <w:sz w:val="20"/>
          <w:szCs w:val="20"/>
        </w:rPr>
      </w:pPr>
    </w:p>
    <w:sectPr w:rsidR="00E91CCF">
      <w:headerReference w:type="default" r:id="rId7"/>
      <w:headerReference w:type="first" r:id="rId8"/>
      <w:pgSz w:w="11900" w:h="16840"/>
      <w:pgMar w:top="1107" w:right="1088" w:bottom="1088" w:left="165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7D68" w:rsidRDefault="001C7D68">
      <w:r>
        <w:separator/>
      </w:r>
    </w:p>
  </w:endnote>
  <w:endnote w:type="continuationSeparator" w:id="0">
    <w:p w:rsidR="001C7D68" w:rsidRDefault="001C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7D68" w:rsidRDefault="001C7D68"/>
  </w:footnote>
  <w:footnote w:type="continuationSeparator" w:id="0">
    <w:p w:rsidR="001C7D68" w:rsidRDefault="001C7D6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C7" w:rsidRDefault="001C7D68">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3914775</wp:posOffset>
              </wp:positionH>
              <wp:positionV relativeFrom="page">
                <wp:posOffset>407670</wp:posOffset>
              </wp:positionV>
              <wp:extent cx="7620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B845C7" w:rsidRDefault="001C7D68">
                          <w:pPr>
                            <w:pStyle w:val="utranghocchntrang20"/>
                            <w:rPr>
                              <w:sz w:val="28"/>
                              <w:szCs w:val="28"/>
                            </w:rPr>
                          </w:pPr>
                          <w:r>
                            <w:fldChar w:fldCharType="begin"/>
                          </w:r>
                          <w:r>
                            <w:instrText xml:space="preserve"> PAGE \* MERGEFORMAT </w:instrText>
                          </w:r>
                          <w:r>
                            <w:fldChar w:fldCharType="separate"/>
                          </w:r>
                          <w:r w:rsidR="00E91CCF" w:rsidRPr="00E91CCF">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308.25pt;margin-top:32.1pt;width:6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" filled="f" stroked="f">
              <v:textbox style="mso-fit-shape-to-text:t" inset="0,0,0,0">
                <w:txbxContent>
                  <w:p w:rsidR="00B845C7" w:rsidRDefault="001C7D68">
                    <w:pPr>
                      <w:pStyle w:val="utranghocchntrang20"/>
                      <w:rPr>
                        <w:sz w:val="28"/>
                        <w:szCs w:val="28"/>
                      </w:rPr>
                    </w:pPr>
                    <w:r>
                      <w:fldChar w:fldCharType="begin"/>
                    </w:r>
                    <w:r>
                      <w:instrText xml:space="preserve"> PAGE \* MERGEFORMAT </w:instrText>
                    </w:r>
                    <w:r>
                      <w:fldChar w:fldCharType="separate"/>
                    </w:r>
                    <w:r w:rsidR="00E91CCF" w:rsidRPr="00E91CCF">
                      <w:rPr>
                        <w:noProof/>
                        <w:sz w:val="28"/>
                        <w:szCs w:val="28"/>
                      </w:rPr>
                      <w:t>2</w:t>
                    </w:r>
                    <w:r>
                      <w:rPr>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C7" w:rsidRDefault="00B845C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3644"/>
    <w:multiLevelType w:val="multilevel"/>
    <w:tmpl w:val="F51CE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8B5D18"/>
    <w:multiLevelType w:val="multilevel"/>
    <w:tmpl w:val="66C89C6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C7"/>
    <w:rsid w:val="001C7D68"/>
    <w:rsid w:val="00B845C7"/>
    <w:rsid w:val="00E91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F2AF"/>
  <w15:docId w15:val="{BCEFDA73-F435-4C5D-8666-655931B7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pPr>
      <w:spacing w:line="259" w:lineRule="auto"/>
    </w:pPr>
    <w:rPr>
      <w:rFonts w:ascii="Times New Roman" w:eastAsia="Times New Roman" w:hAnsi="Times New Roman" w:cs="Times New Roman"/>
      <w:sz w:val="22"/>
      <w:szCs w:val="22"/>
    </w:rPr>
  </w:style>
  <w:style w:type="paragraph" w:customStyle="1" w:styleId="Vnbnnidung0">
    <w:name w:val="Văn bản nội dung"/>
    <w:basedOn w:val="Normal"/>
    <w:link w:val="Vnbnnidung"/>
    <w:pPr>
      <w:spacing w:line="276" w:lineRule="auto"/>
      <w:ind w:firstLine="400"/>
    </w:pPr>
    <w:rPr>
      <w:rFonts w:ascii="Times New Roman" w:eastAsia="Times New Roman" w:hAnsi="Times New Roman" w:cs="Times New Roman"/>
      <w:i/>
      <w:iCs/>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E91CC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 Nguyen Ngoc Vinh (TTHT-CTH)</dc:creator>
  <cp:keywords/>
  <cp:lastModifiedBy>Admin</cp:lastModifiedBy>
  <cp:revision>2</cp:revision>
  <dcterms:created xsi:type="dcterms:W3CDTF">2025-01-15T10:03:00Z</dcterms:created>
  <dcterms:modified xsi:type="dcterms:W3CDTF">2025-01-15T10:10:00Z</dcterms:modified>
</cp:coreProperties>
</file>